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bookmarkEnd w:id="0"/>
      <w:r w:rsidR="003C399F">
        <w:rPr>
          <w:rFonts w:ascii="MS Shell Dlg 2" w:hAnsi="MS Shell Dlg 2" w:cs="MS Shell Dlg 2"/>
          <w:noProof/>
          <w:sz w:val="40"/>
          <w:szCs w:val="40"/>
          <w:u w:val="single"/>
        </w:rPr>
        <w:t xml:space="preserve">Plastifiant – </w:t>
      </w:r>
      <w:r w:rsidR="000D004A">
        <w:rPr>
          <w:rFonts w:ascii="MS Shell Dlg 2" w:hAnsi="MS Shell Dlg 2" w:cs="MS Shell Dlg 2"/>
          <w:noProof/>
          <w:sz w:val="40"/>
          <w:szCs w:val="40"/>
          <w:u w:val="single"/>
        </w:rPr>
        <w:t>Volume optimal de fines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0D004A" w:rsidRDefault="000D004A" w:rsidP="000D004A">
      <w:r>
        <w:t>Le logiciel offre la possibilité d’améliorer la compacité du squelette granulaire grâce à la défloculation réalisée par l’adjuvant.</w:t>
      </w:r>
    </w:p>
    <w:p w:rsidR="000D004A" w:rsidRDefault="000D004A" w:rsidP="000D004A">
      <w:r>
        <w:rPr>
          <w:noProof/>
        </w:rPr>
        <w:drawing>
          <wp:anchor distT="0" distB="0" distL="114300" distR="114300" simplePos="0" relativeHeight="251660288" behindDoc="0" locked="0" layoutInCell="1" allowOverlap="1" wp14:anchorId="03640794" wp14:editId="2F837156">
            <wp:simplePos x="0" y="0"/>
            <wp:positionH relativeFrom="column">
              <wp:posOffset>4445</wp:posOffset>
            </wp:positionH>
            <wp:positionV relativeFrom="paragraph">
              <wp:posOffset>1905</wp:posOffset>
            </wp:positionV>
            <wp:extent cx="2019300" cy="428625"/>
            <wp:effectExtent l="0" t="0" r="0" b="9525"/>
            <wp:wrapSquare wrapText="bothSides"/>
            <wp:docPr id="112" name="Imag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Si vous souhaitez mettre en œuvre cette majoration, il vous faudra cocher l’item « Majoration de la teneur en fines » et préciser le type d’adjuvant : plastifiant ou </w:t>
      </w:r>
      <w:proofErr w:type="spellStart"/>
      <w:r>
        <w:t>superplastifiant</w:t>
      </w:r>
      <w:proofErr w:type="spellEnd"/>
      <w:r>
        <w:t>.</w:t>
      </w:r>
    </w:p>
    <w:p w:rsidR="000D004A" w:rsidRDefault="000D004A" w:rsidP="000D004A">
      <w:r>
        <w:t xml:space="preserve">Dans ce cas, le logiciel affichera, dans la note de calcul, la valeur optimale de fines en fonction du </w:t>
      </w:r>
      <w:proofErr w:type="spellStart"/>
      <w:r>
        <w:t>D</w:t>
      </w:r>
      <w:r w:rsidRPr="00830A02">
        <w:rPr>
          <w:vertAlign w:val="subscript"/>
        </w:rPr>
        <w:t>Max</w:t>
      </w:r>
      <w:proofErr w:type="spellEnd"/>
      <w:r>
        <w:t xml:space="preserve"> et de l’adjuvant utilisé.</w:t>
      </w:r>
    </w:p>
    <w:p w:rsidR="000D004A" w:rsidRPr="00CC1E25" w:rsidRDefault="000D004A" w:rsidP="000D004A">
      <w:r>
        <w:t xml:space="preserve">La procédure de calcul est issue de l’article 3.2 du chapitre 7 de </w:t>
      </w:r>
      <w:hyperlink w:anchor="Biblio_ENTPE_Chanvillard" w:history="1">
        <w:r w:rsidRPr="00830A02">
          <w:rPr>
            <w:rStyle w:val="Lienhypertexte"/>
          </w:rPr>
          <w:t>[</w:t>
        </w:r>
        <w:r w:rsidRPr="00830A02">
          <w:rPr>
            <w:rStyle w:val="Lienhypertexte"/>
          </w:rPr>
          <w:t>2</w:t>
        </w:r>
        <w:r w:rsidRPr="00830A02">
          <w:rPr>
            <w:rStyle w:val="Lienhypertexte"/>
          </w:rPr>
          <w:t>].</w:t>
        </w:r>
      </w:hyperlink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0D004A">
        <w:t>30</w:t>
      </w:r>
      <w:r w:rsidR="00333365">
        <w:t xml:space="preserve"> juin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9B79DA" w:rsidRDefault="00333365" w:rsidP="00333365">
      <w:pPr>
        <w:pStyle w:val="Paragraphedeliste"/>
        <w:numPr>
          <w:ilvl w:val="0"/>
          <w:numId w:val="1"/>
        </w:numPr>
        <w:spacing w:line="240" w:lineRule="auto"/>
      </w:pPr>
      <w:r w:rsidRPr="00DA113E">
        <w:t xml:space="preserve">« Les bétons – Bases et données pour leur formulation » écrit sous la direction de Jacques Baron et </w:t>
      </w:r>
      <w:proofErr w:type="spellStart"/>
      <w:r w:rsidRPr="00DA113E">
        <w:t>Jean-pierre</w:t>
      </w:r>
      <w:proofErr w:type="spellEnd"/>
      <w:r w:rsidRPr="00DA113E">
        <w:t xml:space="preserve"> Ollivier et paru aux Editions Eyrolles</w:t>
      </w:r>
      <w:r>
        <w:t xml:space="preserve"> 1996</w:t>
      </w:r>
    </w:p>
    <w:p w:rsidR="00333365" w:rsidRDefault="00333365" w:rsidP="00333365">
      <w:pPr>
        <w:pStyle w:val="Paragraphedeliste"/>
        <w:numPr>
          <w:ilvl w:val="0"/>
          <w:numId w:val="1"/>
        </w:numPr>
        <w:spacing w:line="240" w:lineRule="auto"/>
      </w:pPr>
      <w:r>
        <w:t xml:space="preserve">« Le matériau béton : Connaissances générales » - Collection Les cours de l’ENTPE – G. </w:t>
      </w:r>
      <w:proofErr w:type="spellStart"/>
      <w:r>
        <w:t>Chanvillard</w:t>
      </w:r>
      <w:proofErr w:type="spellEnd"/>
      <w:r>
        <w:t xml:space="preserve"> - Edition ENTPE ALEAS 1999</w:t>
      </w:r>
    </w:p>
    <w:sectPr w:rsidR="00333365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60319"/>
    <w:multiLevelType w:val="hybridMultilevel"/>
    <w:tmpl w:val="1A7425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12"/>
  </w:num>
  <w:num w:numId="9">
    <w:abstractNumId w:val="4"/>
  </w:num>
  <w:num w:numId="10">
    <w:abstractNumId w:val="8"/>
  </w:num>
  <w:num w:numId="11">
    <w:abstractNumId w:val="9"/>
  </w:num>
  <w:num w:numId="12">
    <w:abstractNumId w:val="11"/>
  </w:num>
  <w:num w:numId="13">
    <w:abstractNumId w:val="13"/>
  </w:num>
  <w:num w:numId="14">
    <w:abstractNumId w:val="14"/>
  </w:num>
  <w:num w:numId="15">
    <w:abstractNumId w:val="15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176E2"/>
    <w:rsid w:val="00025571"/>
    <w:rsid w:val="00033C0C"/>
    <w:rsid w:val="00092135"/>
    <w:rsid w:val="00093CF0"/>
    <w:rsid w:val="000D004A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33365"/>
    <w:rsid w:val="00356AC9"/>
    <w:rsid w:val="003C399F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55C81"/>
    <w:rsid w:val="00A85F1B"/>
    <w:rsid w:val="00AA0DED"/>
    <w:rsid w:val="00AC4C8B"/>
    <w:rsid w:val="00AC795F"/>
    <w:rsid w:val="00B14982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E32643"/>
    <w:rsid w:val="00E341E3"/>
    <w:rsid w:val="00E90F9F"/>
    <w:rsid w:val="00EC1B70"/>
    <w:rsid w:val="00EC2507"/>
    <w:rsid w:val="00ED1818"/>
    <w:rsid w:val="00EE2A24"/>
    <w:rsid w:val="00EF1D5B"/>
    <w:rsid w:val="00F060F6"/>
    <w:rsid w:val="00F8595D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3F572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ienhypertexte">
    <w:name w:val="Hyperlink"/>
    <w:basedOn w:val="Policepardfaut"/>
    <w:uiPriority w:val="99"/>
    <w:rsid w:val="000176E2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0D00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10</cp:revision>
  <dcterms:created xsi:type="dcterms:W3CDTF">2025-11-16T14:41:00Z</dcterms:created>
  <dcterms:modified xsi:type="dcterms:W3CDTF">2026-06-30T12:06:00Z</dcterms:modified>
</cp:coreProperties>
</file>